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4836"/>
        <w:gridCol w:w="6221"/>
      </w:tblGrid>
      <w:tr w:rsidR="0019455A" w:rsidTr="00637770">
        <w:trPr>
          <w:trHeight w:val="254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5A" w:rsidRDefault="00342B57" w:rsidP="006377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noProof/>
                <w:color w:val="4472C4" w:themeColor="accent1"/>
                <w:szCs w:val="28"/>
              </w:rPr>
              <w:drawing>
                <wp:inline distT="0" distB="0" distL="0" distR="0" wp14:anchorId="0A9618A1">
                  <wp:extent cx="2933700" cy="2295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9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A" w:rsidRDefault="0019455A" w:rsidP="006377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</w:p>
          <w:p w:rsidR="0019455A" w:rsidRDefault="0019455A" w:rsidP="006377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  <w:t>ОБЩЕРОССИЙСКИЙ ПРОФСОЮЗ ОБРАЗОВАНИЯ</w:t>
            </w:r>
          </w:p>
          <w:p w:rsidR="0019455A" w:rsidRDefault="0019455A" w:rsidP="006377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  <w:t xml:space="preserve">КРАСНОДАРСКАЯ КРАЕВАЯ ТЕРРИТОРИАЛЬНАЯ </w:t>
            </w:r>
          </w:p>
          <w:p w:rsidR="0019455A" w:rsidRDefault="0019455A" w:rsidP="006377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  <w:t>ОРГАНИЗАЦИЯ ПРОФСОЮЗА</w:t>
            </w:r>
          </w:p>
          <w:p w:rsidR="0019455A" w:rsidRDefault="0019455A" w:rsidP="006377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</w:p>
          <w:p w:rsidR="0019455A" w:rsidRDefault="0019455A" w:rsidP="006377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  ГОРОДСКАЯ ТЕРРИТОРИАЛЬНАЯ ОРГАНИЗАЦИЯ   ПРОФСОЮЗА</w:t>
            </w:r>
          </w:p>
          <w:p w:rsidR="0019455A" w:rsidRDefault="0019455A" w:rsidP="006377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455A" w:rsidRDefault="0019455A" w:rsidP="006377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АДРЕС НАШЕГО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САЙТА:   </w:t>
            </w:r>
            <w:proofErr w:type="gramEnd"/>
            <w:r>
              <w:rPr>
                <w:b/>
                <w:color w:val="FF0000"/>
                <w:sz w:val="20"/>
                <w:szCs w:val="20"/>
                <w:lang w:val="en-US"/>
              </w:rPr>
              <w:t>PROF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SOCHI</w:t>
            </w:r>
            <w:r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SCHOOLS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RU</w:t>
            </w:r>
          </w:p>
        </w:tc>
      </w:tr>
      <w:tr w:rsidR="0019455A" w:rsidTr="0063777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A" w:rsidRDefault="0019455A" w:rsidP="00637770">
            <w:pPr>
              <w:pStyle w:val="Default"/>
            </w:pPr>
          </w:p>
          <w:p w:rsidR="0019455A" w:rsidRDefault="0019455A" w:rsidP="0019455A">
            <w:pPr>
              <w:spacing w:line="240" w:lineRule="auto"/>
              <w:jc w:val="center"/>
              <w:textAlignment w:val="center"/>
              <w:outlineLvl w:val="0"/>
              <w:rPr>
                <w:rFonts w:ascii="Times New Roman" w:eastAsia="Times New Roman" w:hAnsi="Times New Roman"/>
                <w:b/>
                <w:color w:val="4472C4" w:themeColor="accent1"/>
                <w:sz w:val="48"/>
                <w:szCs w:val="48"/>
              </w:rPr>
            </w:pPr>
            <w:r w:rsidRPr="00374211">
              <w:rPr>
                <w:rFonts w:ascii="Open Sans" w:eastAsia="Times New Roman" w:hAnsi="Open Sans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Налоговая компенсация за </w:t>
            </w:r>
            <w:r w:rsidR="00342722">
              <w:rPr>
                <w:rFonts w:ascii="Open Sans" w:eastAsia="Times New Roman" w:hAnsi="Open Sans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обучение</w:t>
            </w:r>
          </w:p>
        </w:tc>
      </w:tr>
      <w:tr w:rsidR="0019455A" w:rsidTr="00637770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342722" w:rsidRDefault="00342722" w:rsidP="00342722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Что такое налоговый вычет за обучение?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Согласно законодательству РФ (ст. 219 НК РФ), при оплате образовательных услуг Вы можете рассчитывать на налоговый вычет или, говоря проще, вернуть себе часть затраченных на обучение денег.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Налоговый вычет </w:t>
            </w:r>
            <w:proofErr w:type="gram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это</w:t>
            </w:r>
            <w:proofErr w:type="gram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часть дохода, которая не облагается налогом. Поэтому Вы и можете вернуть себе уплаченный налог с расходов, понесенных на образование. То есть, если Вы официально работаете (и, соответственно, платите подоходный налог) и оплатили свое обучение или обучение своих детей/братьев/сестер, то Вы можете вернуть себе часть денег в размере до 13% от стоимости обучения.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В каких случаях можно получить налоговый вычет за собственное обучение?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можете воспользоваться социальным налоговым вычетом на собственное образование и вернуть себе часть расходов, если:</w:t>
            </w:r>
          </w:p>
          <w:p w:rsidR="00342722" w:rsidRPr="00342722" w:rsidRDefault="00342722" w:rsidP="00342722">
            <w:pPr>
              <w:numPr>
                <w:ilvl w:val="0"/>
                <w:numId w:val="4"/>
              </w:numPr>
              <w:spacing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оплатили образовательные услуги в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официальных образовательных учреждениях (например, в ВУЗе, техникуме, автошколе или учебных курсах)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342722" w:rsidRPr="00342722" w:rsidRDefault="00342722" w:rsidP="00342722">
            <w:pPr>
              <w:numPr>
                <w:ilvl w:val="0"/>
                <w:numId w:val="4"/>
              </w:numPr>
              <w:spacing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официально работаете и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платите подоходный налог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(его платят все наемные работники);</w:t>
            </w:r>
          </w:p>
          <w:p w:rsidR="00342722" w:rsidRPr="00342722" w:rsidRDefault="00342722" w:rsidP="00342722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Заметка: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у налогового вычета за собственное обучение (в отличие от вычета за обучение детей) нет никаких ограничений на форму обучения: деньги можно вернуть за очную, заочную, вечернюю или любую другую форму.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Размер налогового вычета за собственное обучение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Размер налогового вычета за собственное обучение рассчитывается за календарный год и определяется следующими факторами:</w:t>
            </w:r>
          </w:p>
          <w:p w:rsidR="00342722" w:rsidRPr="00342722" w:rsidRDefault="00342722" w:rsidP="00342722">
            <w:pPr>
              <w:numPr>
                <w:ilvl w:val="0"/>
                <w:numId w:val="5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не можете вернуть себе больше денег, чем перечислили в бюджет подоходного налога (около 13% от официальной зарплаты)</w:t>
            </w:r>
          </w:p>
          <w:p w:rsidR="00342722" w:rsidRPr="00342722" w:rsidRDefault="00342722" w:rsidP="00342722">
            <w:pPr>
              <w:numPr>
                <w:ilvl w:val="0"/>
                <w:numId w:val="5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Вы можете вернуть до 13% от стоимости оплаченного обучения, но не более 15 600 рублей. Это связано с ограничением на максимальную сумму вычета в 120 тыс. руб. (120 тыс. руб. * 13% = 15 600 рублей)</w:t>
            </w:r>
          </w:p>
          <w:p w:rsidR="00342722" w:rsidRPr="00342722" w:rsidRDefault="00342722" w:rsidP="00342722">
            <w:pPr>
              <w:numPr>
                <w:ilvl w:val="0"/>
                <w:numId w:val="5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Ограничение в 15 600 рублей относится не только к вычету на обучение, а ко всем социальным вычетам (кроме дорогостоящего лечения и благотворительности). Сумма всех социальных вычетов (обучение, лечение, пенсионные взносы) не должна превышать 120 тыс. руб. (соответственно вернуть Вы можете максимум 15 600 рублей за все вычеты).</w:t>
            </w:r>
          </w:p>
          <w:p w:rsidR="00342722" w:rsidRPr="00342722" w:rsidRDefault="00342722" w:rsidP="00342722">
            <w:pPr>
              <w:shd w:val="clear" w:color="auto" w:fill="DDDDDD"/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Пример: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2017 году Иванов А.А. оплатил собственное обучение в ВУЗе на сумму 150 тыс. руб. При этом за 2017 год он заработал 250 тыс. рублей и уплатил подоходного налога 31 тыс. рублей. Так как максимальная сумма налогового вычета составляет 120 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. (что меньше 150 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.), то за 2017 год Иванов А.А. сможет себе вернуть только 120 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 * 13% = 15 600 руб.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 каких </w:t>
            </w:r>
            <w:proofErr w:type="gramStart"/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случаях  и</w:t>
            </w:r>
            <w:proofErr w:type="gramEnd"/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в каком размере можно получить вычет за обучение своих детей?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можете получить социальный налоговый вычет за обучение Ваших детей при соблюдении следующих условий:</w:t>
            </w:r>
          </w:p>
          <w:p w:rsidR="00342722" w:rsidRPr="00342722" w:rsidRDefault="00342722" w:rsidP="00342722">
            <w:pPr>
              <w:numPr>
                <w:ilvl w:val="0"/>
                <w:numId w:val="6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ребенку не больше 24 лет;</w:t>
            </w:r>
          </w:p>
          <w:p w:rsidR="00342722" w:rsidRPr="00342722" w:rsidRDefault="00342722" w:rsidP="00342722">
            <w:pPr>
              <w:numPr>
                <w:ilvl w:val="0"/>
                <w:numId w:val="6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ребенок обучается на очной форме обучения (детский сад, школа, очная форма ВУЗа и т.д.);</w:t>
            </w:r>
          </w:p>
          <w:p w:rsidR="00342722" w:rsidRPr="00342722" w:rsidRDefault="00342722" w:rsidP="00342722">
            <w:pPr>
              <w:numPr>
                <w:ilvl w:val="0"/>
                <w:numId w:val="6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договор оплаты образовательных услуг составлен на Вас (или Вашего супруга);</w:t>
            </w:r>
          </w:p>
          <w:p w:rsidR="00342722" w:rsidRPr="00342722" w:rsidRDefault="00342722" w:rsidP="00342722">
            <w:pPr>
              <w:numPr>
                <w:ilvl w:val="0"/>
                <w:numId w:val="6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фактические документы оплаты (квитанции, платежки) должны быть составлены на Вас (или оформлена доверенность на передачу средств);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Максимальный размер вычета на одного ребенка составляет 50 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 (6 500 руб. к возврату)</w:t>
            </w:r>
          </w:p>
          <w:p w:rsidR="00342722" w:rsidRPr="00342722" w:rsidRDefault="00342722" w:rsidP="00342722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Пример: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2017 году Иванов А.А. оплатил:</w:t>
            </w:r>
          </w:p>
          <w:p w:rsidR="00342722" w:rsidRPr="00342722" w:rsidRDefault="00342722" w:rsidP="00342722">
            <w:pPr>
              <w:numPr>
                <w:ilvl w:val="0"/>
                <w:numId w:val="7"/>
              </w:numPr>
              <w:spacing w:before="75" w:after="7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заочное обучение в ВУЗе своей дочери Кати в размере 30 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.;</w:t>
            </w:r>
          </w:p>
          <w:p w:rsidR="00342722" w:rsidRPr="00342722" w:rsidRDefault="00342722" w:rsidP="00342722">
            <w:pPr>
              <w:numPr>
                <w:ilvl w:val="0"/>
                <w:numId w:val="7"/>
              </w:numPr>
              <w:spacing w:before="75" w:after="7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обучение в платной школе своему сыну Коле в размере 40 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.;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При этом за 2017 год Иванов А.А. заработал 250 </w:t>
            </w:r>
            <w:proofErr w:type="spellStart"/>
            <w:proofErr w:type="gram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и уплатил подоходного налога 31 тыс. рублей.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Так как Катя обучается на заочном отделении, деньги за нее Иванов А.А. вернуть не сможет. Поэтому максимум за 2017 год он сможет вернуть 40 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 * 13% = 5 200 руб.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В каких случаях можно получить вычет за обучение своих братьев/сестер?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можете получить социальный налоговый вычет за обучение Ваших братьев/сестер при соблюдении следующих условий:</w:t>
            </w:r>
          </w:p>
          <w:p w:rsidR="00342722" w:rsidRPr="00342722" w:rsidRDefault="00342722" w:rsidP="00342722">
            <w:pPr>
              <w:numPr>
                <w:ilvl w:val="0"/>
                <w:numId w:val="8"/>
              </w:numPr>
              <w:spacing w:before="75" w:after="7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брату/сестре не больше 24 лет;</w:t>
            </w:r>
          </w:p>
          <w:p w:rsidR="00342722" w:rsidRPr="00342722" w:rsidRDefault="00342722" w:rsidP="00342722">
            <w:pPr>
              <w:numPr>
                <w:ilvl w:val="0"/>
                <w:numId w:val="8"/>
              </w:numPr>
              <w:spacing w:before="75" w:after="7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брат/сестра обучается на очной форме обучения (детский сад, школа, очная форма ВУЗа и т.д.);</w:t>
            </w:r>
          </w:p>
          <w:p w:rsidR="00342722" w:rsidRPr="00342722" w:rsidRDefault="00342722" w:rsidP="00342722">
            <w:pPr>
              <w:numPr>
                <w:ilvl w:val="0"/>
                <w:numId w:val="8"/>
              </w:numPr>
              <w:spacing w:before="75" w:after="7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договор оплаты образовательных услуг составлен на Вас;</w:t>
            </w:r>
          </w:p>
          <w:p w:rsidR="00342722" w:rsidRPr="00342722" w:rsidRDefault="00342722" w:rsidP="00342722">
            <w:pPr>
              <w:numPr>
                <w:ilvl w:val="0"/>
                <w:numId w:val="8"/>
              </w:numPr>
              <w:spacing w:before="75" w:after="7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фактические документы оплаты (квитанции, платежки) должны быть составлены на Вас (или оформлена доверенность на передачу средств);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Размер налогового вычета за обучение братьев/сестер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Размер вычета на оплату образовательных услуг братьев/сестер рассчитывается за календарный год и определяется следующими факторами:</w:t>
            </w:r>
          </w:p>
          <w:p w:rsidR="00342722" w:rsidRPr="00342722" w:rsidRDefault="00342722" w:rsidP="00342722">
            <w:pPr>
              <w:numPr>
                <w:ilvl w:val="0"/>
                <w:numId w:val="9"/>
              </w:numPr>
              <w:spacing w:before="75" w:after="7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не можете вернуть себе за год больше денег, чем перечислили в бюджет подоходного налога (около 13% от официальной зарплаты)</w:t>
            </w:r>
          </w:p>
          <w:p w:rsidR="00342722" w:rsidRPr="00342722" w:rsidRDefault="00342722" w:rsidP="00342722">
            <w:pPr>
              <w:numPr>
                <w:ilvl w:val="0"/>
                <w:numId w:val="9"/>
              </w:numPr>
              <w:spacing w:before="75" w:after="7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 общей сумме Вы можете вернуть до 13% от стоимости оплаченного обучения, но не более 15 600 рублей в год.</w:t>
            </w:r>
          </w:p>
          <w:p w:rsidR="00342722" w:rsidRPr="00342722" w:rsidRDefault="00342722" w:rsidP="00342722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Пример: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2016 году Иванов А.А. оплатил обучение своего родного брата Иванова В.А. в ВУЗЕ по очной форме обучения в размере 80 000 руб. При этом за 2016 год Иванов А.А. заработал 250 тыс. рублей и уплатил подоходного налога 31 тыс. рублей. Соответственно, за 2016 год Иванов А.А. сможет вернуть 80 000 * 13% = 10 400 руб.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Как получить вычет?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hd w:val="clear" w:color="auto" w:fill="FFFFFF"/>
              <w:spacing w:before="150" w:after="150" w:line="240" w:lineRule="auto"/>
              <w:jc w:val="both"/>
              <w:textAlignment w:val="baseline"/>
              <w:outlineLvl w:val="1"/>
              <w:rPr>
                <w:rFonts w:ascii="Georgia" w:eastAsia="Times New Roman" w:hAnsi="Georgia" w:cs="Times New Roman"/>
                <w:bCs/>
                <w:color w:val="1D1B17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lang w:eastAsia="ru-RU"/>
              </w:rPr>
              <w:t>Процесс получения вычета на обучение состоит из: сбора и подачи документов в налоговую инспекцию, проверки документов налоговой инспекцией и перевода денег.</w:t>
            </w:r>
            <w:r w:rsidRPr="00342722">
              <w:rPr>
                <w:rFonts w:ascii="Georgia" w:eastAsia="Times New Roman" w:hAnsi="Georgia" w:cs="Times New Roman"/>
                <w:bCs/>
                <w:color w:val="1D1B17"/>
                <w:sz w:val="24"/>
                <w:szCs w:val="24"/>
                <w:lang w:eastAsia="ru-RU"/>
              </w:rPr>
              <w:t xml:space="preserve"> 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hd w:val="clear" w:color="auto" w:fill="FFFFFF"/>
              <w:spacing w:before="150" w:after="150" w:line="240" w:lineRule="auto"/>
              <w:jc w:val="both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42722">
              <w:rPr>
                <w:rFonts w:ascii="Georgia" w:eastAsia="Times New Roman" w:hAnsi="Georgia" w:cs="Times New Roman"/>
                <w:b/>
                <w:bCs/>
                <w:color w:val="FF0000"/>
                <w:sz w:val="32"/>
                <w:szCs w:val="32"/>
                <w:lang w:eastAsia="ru-RU"/>
              </w:rPr>
              <w:t>Список документов для оформления вычета</w:t>
            </w:r>
          </w:p>
          <w:p w:rsidR="00342722" w:rsidRPr="00342722" w:rsidRDefault="00342722" w:rsidP="00342722">
            <w:pPr>
              <w:shd w:val="clear" w:color="auto" w:fill="FFFFFF"/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Для того чтобы оформить налоговый вычет на обучение Вам понадобятся следующие документы и информация:</w:t>
            </w:r>
          </w:p>
          <w:p w:rsidR="00342722" w:rsidRPr="00342722" w:rsidRDefault="00342722" w:rsidP="00342722">
            <w:pPr>
              <w:numPr>
                <w:ilvl w:val="0"/>
                <w:numId w:val="10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Налоговая декларация по форме 3-НДФЛ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(скачать ее Вы можете 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</w:rPr>
              <w:t xml:space="preserve">на сайте налоговой инспекции 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nalog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). В ИФНС подается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оригинал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декларации.</w:t>
            </w:r>
          </w:p>
          <w:p w:rsidR="00342722" w:rsidRPr="00342722" w:rsidRDefault="00342722" w:rsidP="00342722">
            <w:pPr>
              <w:numPr>
                <w:ilvl w:val="0"/>
                <w:numId w:val="10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Паспорт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или документ его заменяющий. В ИФНС подаются заверенные копии первых страниц паспорта (основная информация + страницы с пропиской).</w:t>
            </w:r>
          </w:p>
          <w:p w:rsidR="00342722" w:rsidRPr="00342722" w:rsidRDefault="00342722" w:rsidP="00342722">
            <w:pPr>
              <w:numPr>
                <w:ilvl w:val="0"/>
                <w:numId w:val="10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Справка о доходах по форме 2-НДФЛ.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Такую справку Вы можете получить у Вашего работодателя. В ИФНС подается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оригинал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справки 2-НДФЛ. 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br/>
              <w:t>Примечание: если за год Вы работали в нескольких местах, то потребуются справки от всех работодателей.</w:t>
            </w:r>
          </w:p>
          <w:p w:rsidR="00342722" w:rsidRPr="00342722" w:rsidRDefault="00342722" w:rsidP="00342722">
            <w:pPr>
              <w:numPr>
                <w:ilvl w:val="0"/>
                <w:numId w:val="10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Заявление на возврат налога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с реквизитами счета, на который налоговая перечислит Вам деньги. В ИФНС подается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оригинал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</w:t>
            </w:r>
            <w:proofErr w:type="gram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заявления.(</w:t>
            </w:r>
            <w:proofErr w:type="gram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Образец заявления Вы можете скачать  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</w:rPr>
              <w:t xml:space="preserve">на сайте налоговой инспекции 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nalog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). В ИФНС подается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оригинал </w:t>
            </w:r>
            <w:proofErr w:type="gram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декларации..</w:t>
            </w:r>
            <w:proofErr w:type="gramEnd"/>
          </w:p>
          <w:p w:rsidR="00342722" w:rsidRPr="00342722" w:rsidRDefault="00342722" w:rsidP="00342722">
            <w:pPr>
              <w:numPr>
                <w:ilvl w:val="0"/>
                <w:numId w:val="10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Договор с учебный заведением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 в котором указана стоимость обучения. В ИФНС подается </w:t>
            </w:r>
            <w:hyperlink r:id="rId6" w:anchor="notarius" w:history="1">
              <w:r w:rsidRPr="00342722">
                <w:rPr>
                  <w:rFonts w:ascii="Arial" w:eastAsia="Times New Roman" w:hAnsi="Arial" w:cs="Arial"/>
                  <w:color w:val="3E3E3E"/>
                  <w:sz w:val="24"/>
                  <w:szCs w:val="24"/>
                  <w:u w:val="single"/>
                  <w:bdr w:val="none" w:sz="0" w:space="0" w:color="auto" w:frame="1"/>
                </w:rPr>
                <w:t>заверенная</w:t>
              </w:r>
              <w:r>
                <w:rPr>
                  <w:rFonts w:ascii="Arial" w:eastAsia="Times New Roman" w:hAnsi="Arial" w:cs="Arial"/>
                  <w:color w:val="3E3E3E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r w:rsidRPr="00342722">
                <w:rPr>
                  <w:rFonts w:ascii="Arial" w:eastAsia="Times New Roman" w:hAnsi="Arial" w:cs="Arial"/>
                  <w:color w:val="3E3E3E"/>
                  <w:sz w:val="24"/>
                  <w:szCs w:val="24"/>
                  <w:u w:val="single"/>
                  <w:bdr w:val="none" w:sz="0" w:space="0" w:color="auto" w:frame="1"/>
                </w:rPr>
                <w:t>копия</w:t>
              </w:r>
            </w:hyperlink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договора. 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br/>
              <w:t>Примечание: если стоимость обучения со времени заключения первоначального договора повысилась, то требуется представить документы, подтверждающие это увеличение. Таким документом обычно служит дополнительное соглашение к договору.</w:t>
            </w:r>
          </w:p>
          <w:p w:rsidR="00342722" w:rsidRPr="00342722" w:rsidRDefault="00342722" w:rsidP="00342722">
            <w:pPr>
              <w:numPr>
                <w:ilvl w:val="0"/>
                <w:numId w:val="10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Лицензия учебного заведения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 подтверждающая его статус. В ИФНС подается </w:t>
            </w:r>
            <w:hyperlink r:id="rId7" w:anchor="notarius" w:history="1">
              <w:r w:rsidRPr="00342722">
                <w:rPr>
                  <w:rFonts w:ascii="Arial" w:eastAsia="Times New Roman" w:hAnsi="Arial" w:cs="Arial"/>
                  <w:color w:val="3E3E3E"/>
                  <w:sz w:val="24"/>
                  <w:szCs w:val="24"/>
                  <w:u w:val="single"/>
                  <w:bdr w:val="none" w:sz="0" w:space="0" w:color="auto" w:frame="1"/>
                </w:rPr>
                <w:t>заверенная копия</w:t>
              </w:r>
            </w:hyperlink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лицензии. 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br/>
              <w:t>Примечание: если в договоре на обучение указаны реквизиты лицензии учебного заведения, то предоставление лицензии не является обязательным.</w:t>
            </w:r>
          </w:p>
          <w:p w:rsidR="00342722" w:rsidRPr="00342722" w:rsidRDefault="00342722" w:rsidP="00342722">
            <w:pPr>
              <w:numPr>
                <w:ilvl w:val="0"/>
                <w:numId w:val="10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Платежные документы, подтверждающие факт оплаты обучения (обычно это платежные поручения, квитанции или кассовые чеки с приходно-кассовыми ордерами). В ИФНС подаются </w:t>
            </w:r>
            <w:hyperlink r:id="rId8" w:anchor="notarius" w:history="1">
              <w:r w:rsidRPr="00342722">
                <w:rPr>
                  <w:rFonts w:ascii="Arial" w:eastAsia="Times New Roman" w:hAnsi="Arial" w:cs="Arial"/>
                  <w:color w:val="3E3E3E"/>
                  <w:sz w:val="24"/>
                  <w:szCs w:val="24"/>
                  <w:u w:val="single"/>
                  <w:bdr w:val="none" w:sz="0" w:space="0" w:color="auto" w:frame="1"/>
                </w:rPr>
                <w:t>заверенные копии</w:t>
              </w:r>
            </w:hyperlink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val="en-US"/>
              </w:rPr>
              <w:t xml:space="preserve"> 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платежных документов.</w:t>
            </w:r>
          </w:p>
          <w:p w:rsidR="00342722" w:rsidRPr="00342722" w:rsidRDefault="00342722" w:rsidP="00342722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lastRenderedPageBreak/>
              <w:t>При оформлении налогового вычета </w:t>
            </w:r>
            <w:r w:rsidRPr="0034272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за обучение детей</w:t>
            </w:r>
            <w:r w:rsidRPr="0034272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 дополнительно предоставляются</w:t>
            </w:r>
            <w:r w:rsidRPr="00342722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ru-RU"/>
              </w:rPr>
              <w:t>:</w:t>
            </w:r>
          </w:p>
          <w:p w:rsidR="00342722" w:rsidRPr="00342722" w:rsidRDefault="00342722" w:rsidP="00342722">
            <w:pPr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копия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свидетельства о рождении ребенка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;</w:t>
            </w:r>
          </w:p>
          <w:p w:rsidR="00342722" w:rsidRPr="00342722" w:rsidRDefault="00342722" w:rsidP="00342722">
            <w:pPr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справка из образовательного учреждения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 подтверждающая обучение ребенка по очной форме (требуется если в договоре отсутствует указание на форму обучения). В ИФНС подается </w:t>
            </w:r>
            <w:proofErr w:type="spellStart"/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оригинал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справки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.</w:t>
            </w:r>
          </w:p>
          <w:p w:rsidR="00342722" w:rsidRPr="00342722" w:rsidRDefault="00342722" w:rsidP="00342722">
            <w:pPr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копия свидетельства о браке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(требуется, если документы оформлены на одного супруга, а вычет на обучение ребенка получает другой)</w:t>
            </w:r>
          </w:p>
          <w:p w:rsidR="00342722" w:rsidRPr="00342722" w:rsidRDefault="00342722" w:rsidP="0034272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:rsidR="00342722" w:rsidRPr="00342722" w:rsidRDefault="00342722" w:rsidP="00342722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34272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При оформлении налогового вычета </w:t>
            </w:r>
            <w:r w:rsidRPr="0034272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за брата/сестру</w:t>
            </w:r>
            <w:r w:rsidRPr="0034272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 дополнительно предоставляются</w:t>
            </w:r>
            <w:r w:rsidRPr="00342722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:</w:t>
            </w:r>
          </w:p>
          <w:p w:rsidR="00342722" w:rsidRPr="00342722" w:rsidRDefault="00342722" w:rsidP="00342722">
            <w:pPr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копия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собственного свидетельства о рождении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;</w:t>
            </w:r>
          </w:p>
          <w:p w:rsidR="00342722" w:rsidRPr="00342722" w:rsidRDefault="00342722" w:rsidP="00342722">
            <w:pPr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копия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свидетельства о рождении брата/сестры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;</w:t>
            </w:r>
          </w:p>
          <w:p w:rsidR="00342722" w:rsidRPr="00342722" w:rsidRDefault="00342722" w:rsidP="00342722">
            <w:pPr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справка из образовательного учреждения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 подтверждающая обучение по очной форме (требуется если в договоре отсутствует указание на форму обучения</w:t>
            </w:r>
            <w:proofErr w:type="gram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).В</w:t>
            </w:r>
            <w:proofErr w:type="gram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ИФНС подается </w:t>
            </w:r>
            <w:r w:rsidRPr="0034272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оригинал</w:t>
            </w: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справки.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hd w:val="clear" w:color="auto" w:fill="FFFFFF"/>
              <w:spacing w:before="150" w:after="150" w:line="240" w:lineRule="auto"/>
              <w:jc w:val="both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722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Подготовка документов с помощью сервиса "Верни Налог"</w:t>
            </w:r>
          </w:p>
          <w:p w:rsidR="00342722" w:rsidRPr="00342722" w:rsidRDefault="00342722" w:rsidP="00342722">
            <w:pPr>
              <w:shd w:val="clear" w:color="auto" w:fill="FFFFFF"/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Cервис</w:t>
            </w:r>
            <w:proofErr w:type="spellEnd"/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"Верни Налог" поможет Вам легко и быстро подготовить декларацию 3-НДФЛ и заявление на возврат налога, отвечая на простые вопросы. В дополнение он также предоставит Вам подробную инструкцию по сдаче документов в налоговые органы, а в случае любых вопросов при работе с сервисом профессиональные юристы с удовольствием проконсультируют Вас.</w:t>
            </w:r>
          </w:p>
          <w:p w:rsidR="00342722" w:rsidRPr="00342722" w:rsidRDefault="00342722" w:rsidP="00342722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722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Когда и за какой период можно получить налоговый вычет?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можете вернуть деньги за обучение только за те годы, когда Вы непосредственно производили оплату. При этом подать декларацию и вернуть деньги можно лишь в году, следующем за годом оплаты. То есть если Вы оплатили обучение в 2017 году, вернуть деньги сможете только в 2018 году.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Если Вы не оформили вычет сразу, то Вы можете сделать это позже, но не более чем за три последних года. Например, если Вы обучались и оплачивали обучение в ВУЗе в 2013-2017 годах и при этом не получали налоговый вычет, то в 2018 году Вы можете вернуть себе налог только за 2015, 2016 и 2017 годы.</w:t>
            </w:r>
          </w:p>
          <w:p w:rsidR="00342722" w:rsidRPr="00342722" w:rsidRDefault="00342722" w:rsidP="00342722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4272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Вся процедура получения вычета обычно занимает от трех до четырех месяцев (большую часть времени занимает проверка Ваших документов налоговой инспекцией).</w:t>
            </w:r>
          </w:p>
          <w:p w:rsidR="00342722" w:rsidRPr="00342722" w:rsidRDefault="00342722" w:rsidP="00342722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9455A" w:rsidRDefault="0019455A" w:rsidP="0034272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</w:p>
          <w:p w:rsidR="0019455A" w:rsidRPr="00E97EE3" w:rsidRDefault="0019455A" w:rsidP="0034272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Информация подготовлена специалистом СГТО Профсоюза по Адлерскому району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ab/>
              <w:t>Спесивцевой Т.П.</w:t>
            </w:r>
          </w:p>
          <w:p w:rsidR="0019455A" w:rsidRDefault="0019455A" w:rsidP="0034272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19455A" w:rsidRPr="00DD3B9A" w:rsidRDefault="0019455A" w:rsidP="00342722">
            <w:pPr>
              <w:jc w:val="both"/>
              <w:rPr>
                <w:sz w:val="28"/>
                <w:szCs w:val="28"/>
              </w:rPr>
            </w:pPr>
          </w:p>
          <w:p w:rsidR="0019455A" w:rsidRPr="00E97EE3" w:rsidRDefault="0019455A" w:rsidP="0034272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</w:p>
          <w:p w:rsidR="0019455A" w:rsidRDefault="0019455A" w:rsidP="00342722">
            <w:pPr>
              <w:jc w:val="both"/>
            </w:pPr>
          </w:p>
          <w:p w:rsidR="0019455A" w:rsidRDefault="0019455A" w:rsidP="00342722">
            <w:pPr>
              <w:spacing w:line="240" w:lineRule="auto"/>
              <w:ind w:right="423"/>
              <w:jc w:val="both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</w:p>
        </w:tc>
      </w:tr>
    </w:tbl>
    <w:p w:rsidR="00DD29FE" w:rsidRDefault="00DD29FE"/>
    <w:sectPr w:rsidR="00DD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F1A"/>
    <w:multiLevelType w:val="multilevel"/>
    <w:tmpl w:val="B5A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21B44"/>
    <w:multiLevelType w:val="multilevel"/>
    <w:tmpl w:val="704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02B6E"/>
    <w:multiLevelType w:val="multilevel"/>
    <w:tmpl w:val="B1D2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56DA4"/>
    <w:multiLevelType w:val="multilevel"/>
    <w:tmpl w:val="E81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04650"/>
    <w:multiLevelType w:val="multilevel"/>
    <w:tmpl w:val="39F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50A1C"/>
    <w:multiLevelType w:val="multilevel"/>
    <w:tmpl w:val="917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C12D0"/>
    <w:multiLevelType w:val="multilevel"/>
    <w:tmpl w:val="BF18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AD4976"/>
    <w:multiLevelType w:val="multilevel"/>
    <w:tmpl w:val="EB8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ED50216"/>
    <w:multiLevelType w:val="multilevel"/>
    <w:tmpl w:val="538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F33C4"/>
    <w:multiLevelType w:val="multilevel"/>
    <w:tmpl w:val="2D1A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6755A08"/>
    <w:multiLevelType w:val="multilevel"/>
    <w:tmpl w:val="3E4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15831"/>
    <w:multiLevelType w:val="multilevel"/>
    <w:tmpl w:val="1E46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2C7E40"/>
    <w:multiLevelType w:val="multilevel"/>
    <w:tmpl w:val="49FA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FE"/>
    <w:rsid w:val="0019455A"/>
    <w:rsid w:val="001C6FA6"/>
    <w:rsid w:val="00342722"/>
    <w:rsid w:val="00342B57"/>
    <w:rsid w:val="006C3CFF"/>
    <w:rsid w:val="00D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8F5B-EA95-48B0-A9CE-D5650870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5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945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455A"/>
    <w:rPr>
      <w:b/>
      <w:bCs/>
    </w:rPr>
  </w:style>
  <w:style w:type="paragraph" w:styleId="a5">
    <w:name w:val="Normal (Web)"/>
    <w:basedOn w:val="a"/>
    <w:uiPriority w:val="99"/>
    <w:unhideWhenUsed/>
    <w:rsid w:val="0019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ni-nalog.ru/nalogovye-vychety/obuchenie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ni-nalog.ru/nalogovye-vychety/obuchenie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ni-nalog.ru/nalogovye-vychety/obuchenie/documen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6</cp:revision>
  <dcterms:created xsi:type="dcterms:W3CDTF">2018-09-27T06:13:00Z</dcterms:created>
  <dcterms:modified xsi:type="dcterms:W3CDTF">2018-09-27T06:32:00Z</dcterms:modified>
</cp:coreProperties>
</file>