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Профсоюз работников </w:t>
      </w:r>
      <w:proofErr w:type="gram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народного</w:t>
      </w:r>
      <w:proofErr w:type="gramEnd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образования и науки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Российской Федерации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lang w:eastAsia="ru-RU"/>
        </w:rPr>
      </w:pPr>
      <w:r w:rsidRPr="00C56BC2">
        <w:rPr>
          <w:rFonts w:ascii="Bookman Old Style" w:eastAsia="Times New Roman" w:hAnsi="Bookman Old Style" w:cs="Times New Roman"/>
          <w:b/>
          <w:bCs/>
          <w:color w:val="000000"/>
          <w:sz w:val="36"/>
          <w:lang w:eastAsia="ru-RU"/>
        </w:rPr>
        <w:t>ЦЕНТРАЛЬНЫЙ СОВЕТ</w:t>
      </w: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ИНФОРМАЦИОННЫЙ БЮЛЛЕТЕНЬ № 1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САНПИН 2.4.2.2821-10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"САНИТАРНО-ЭПИДЕМИОЛОГИЧЕСКИЕ ТРЕБОВАНИЯ К УСЛОВИЯМ И ОРГАНИЗАЦИИ ОБУЧЕНИЯ, СОДЕРЖАНИЯ В ОБЩЕОБРАЗОВАТЕЛЬНЫХ ОРГАНИЗАЦИЯХ"</w:t>
      </w: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Сборник нормативных правовых актов, переписка по вопросам наполняемости классов, комментарии</w:t>
      </w: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left="2184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left="2184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left="2184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left="2184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left="2184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left="2184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left="21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Москва, март 2016 г.</w:t>
      </w: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left="2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left="2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left="2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left="21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Уважаемые коллеги!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информационно-методический бюллетень подготовлен в связи с изменениями, внесенными в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 в части наполняемости классов.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№ 3 внесены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24.11.2015 № 81 в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от 29 декабря 2010 г. № 189 (далее –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2.4.2.2821-10).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содержит извлечения из нормативных правовых актов, в том числе из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новых требований, предусмотренных в Изменениях № 3 к наполняемости классов, основанных на конкретной с норме площади на одного обучающегося, на соблюдении требований к расстановке мебели в учебных помещениях, требований к оборудованию общеобразовательных организаций, к естественному и искусственному освещению.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содержит также комментарии к изменениям № 3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Считаем, что материалы сборника будут полезны для практического их применения.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24.2pt;height:24.2pt"/>
        </w:pic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Профсоюза Г.И.Меркулова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Информационный бюллетень подготовлен в отделе по вопросам общего образования аппарата ЦС Профсоюза. Составитель сборника: эксперт В.Н.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Понкратова</w:t>
      </w:r>
      <w:proofErr w:type="spell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 О Д Е </w:t>
      </w:r>
      <w:proofErr w:type="gram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Ж А Н И 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4"/>
        <w:gridCol w:w="521"/>
      </w:tblGrid>
      <w:tr w:rsidR="00C56BC2" w:rsidRPr="00C56BC2" w:rsidTr="00C56BC2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Предисловие</w:t>
            </w:r>
            <w:r w:rsidRPr="00C56B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</w:p>
        </w:tc>
      </w:tr>
      <w:tr w:rsidR="00C56BC2" w:rsidRPr="00C56BC2" w:rsidTr="00C56BC2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Федеральный закон </w:t>
            </w:r>
            <w:r w:rsidRPr="00C56B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30 марта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1999 года № 52-ФЗ «О санитарно-эпидемиологическом благополучии населения» (Извлечение)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</w:t>
            </w:r>
          </w:p>
        </w:tc>
      </w:tr>
      <w:tr w:rsidR="00C56BC2" w:rsidRPr="00C56BC2" w:rsidTr="00C56BC2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Приказ </w:t>
            </w: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(с изменениями и дополнениями) ……………………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</w:t>
            </w:r>
          </w:p>
        </w:tc>
      </w:tr>
      <w:tr w:rsidR="00C56BC2" w:rsidRPr="00C56BC2" w:rsidTr="00C56BC2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Приказ </w:t>
            </w: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</w:t>
            </w:r>
            <w:proofErr w:type="gramStart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изменениями и дополнениями) …………………………………………….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</w:t>
            </w:r>
          </w:p>
        </w:tc>
      </w:tr>
      <w:tr w:rsidR="00C56BC2" w:rsidRPr="00C56BC2" w:rsidTr="00C56BC2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Приказ </w:t>
            </w: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 (с изменениями и дополнениями) ……………………………………………………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7</w:t>
            </w:r>
          </w:p>
        </w:tc>
      </w:tr>
      <w:tr w:rsidR="00C56BC2" w:rsidRPr="00C56BC2" w:rsidTr="00C56BC2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Постановление </w:t>
            </w: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29 декабря 2010 г. № 189 «Об утверждении </w:t>
            </w:r>
            <w:proofErr w:type="spellStart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 ………………………..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</w:p>
        </w:tc>
      </w:tr>
      <w:tr w:rsidR="00C56BC2" w:rsidRPr="00C56BC2" w:rsidTr="00C56BC2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ЦС Профсоюза от 4 марта 2015 г. № 91 Председателю Правительства Российской Федерации Д.А.Медведеву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12</w:t>
            </w:r>
          </w:p>
        </w:tc>
      </w:tr>
      <w:tr w:rsidR="00C56BC2" w:rsidRPr="00C56BC2" w:rsidTr="00C56BC2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Руководителя </w:t>
            </w:r>
            <w:proofErr w:type="spellStart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15 апреля 2015 г. № 01/4060-15-31 на обращение ЦС Профсоюза к Председателю Правительства РФ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15</w:t>
            </w:r>
          </w:p>
        </w:tc>
      </w:tr>
      <w:tr w:rsidR="00C56BC2" w:rsidRPr="00C56BC2" w:rsidTr="00C56BC2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к Руководителю Федеральной службы по надзору в сфере защиты прав потребителей и благополучия человека А.Ю.Поповой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17</w:t>
            </w:r>
          </w:p>
        </w:tc>
      </w:tr>
      <w:tr w:rsidR="00C56BC2" w:rsidRPr="00C56BC2" w:rsidTr="00C56BC2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</w:t>
            </w:r>
            <w:proofErr w:type="spellStart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15 февраля 2016 г. № 01/1723-16-31 на обращение ЦС Профсоюза к </w:t>
            </w:r>
            <w:proofErr w:type="spellStart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руководилю</w:t>
            </w:r>
            <w:proofErr w:type="spellEnd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19</w:t>
            </w:r>
          </w:p>
        </w:tc>
      </w:tr>
      <w:tr w:rsidR="00C56BC2" w:rsidRPr="00C56BC2" w:rsidTr="00C56BC2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действующих </w:t>
            </w:r>
            <w:proofErr w:type="spellStart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гигиене детей и подростков ….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21</w:t>
            </w:r>
          </w:p>
        </w:tc>
      </w:tr>
      <w:tr w:rsidR="00C56BC2" w:rsidRPr="00C56BC2" w:rsidTr="00C56BC2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Комментарий </w:t>
            </w: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изменениям № 3 </w:t>
            </w:r>
            <w:proofErr w:type="spellStart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2.4.2.2821-10 "Санитарно-эпидемиологические требования к условиям и организации обучения, содержания в общеобразовательных организациях"…………………..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23</w:t>
            </w:r>
          </w:p>
        </w:tc>
      </w:tr>
    </w:tbl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Федеральный закон от 30 марта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1999 года № 52-ФЗ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 санитарно-эпидемиологическом благополучии населения»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и дополнениями по состоянию на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28.11.2015)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(Извлечение)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39. Утверждение санитарных правил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23.07.2013 № 246-ФЗ)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в ред. Федерального закона от 23.07.2013 № 246-ФЗ)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Федеральные санитарные правила, устанавливающие санитарно-эпидемиологические требования к условиям воспитания и обучения,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1.1 введен Федеральным законом от 02.07.2013 № 185-ФЗ)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федерального государственного образовательного стандарта начального общего образования (с изменениями и дополнениями)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(Извлечение)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 в Минюсте России 22 декабря 2009 г. № 15785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6"/>
      <w:bookmarkEnd w:id="0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Федеральный государственный образовательный стандарт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начального общего образования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Требования к структуре основной образовательной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программы начального общего образования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организацию урочной и внеурочной деятельности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соответствии с санитарно-эпидемиологическими правилами и нормативами.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Материально-технические условия реализации основной образовательной программы начального общего образования должны обеспечивать: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 и т.д.);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организаций, осуществляющих образовательную деятельность, предъявляемым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зданию организации, осуществляющей образовательную деятельность (высота и архитектура здания, необходимый набор и размещение помещений для осуществления образовательной деятельности при получении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организации, осуществляющей образовательную деятельность, для активной деятельности, сна и отдыха, структура которых должна обеспечивать возможность для организации урочной и внеурочной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деятельности);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</w:t>
      </w:r>
      <w:proofErr w:type="gram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я(</w:t>
      </w:r>
      <w:proofErr w:type="gramEnd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изменениями и дополнениями)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(Извлечение)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 в Минюсте России 1 февраля 2011 г. № 19644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4"/>
      <w:bookmarkEnd w:id="1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Федеральный государственный образовательный стандарт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основного общего образования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Требования к структуре основной образовательной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программы основного общего образования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соблюдением требований государственных санитарно-эпидемиологических правил и нормативов.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образовательных отношений.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"/>
      <w:bookmarkEnd w:id="2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 (с изменениями и дополнениями)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(Извлечение)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 в Минюсте России 7 июня 2012 г. № 24480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35"/>
      <w:bookmarkEnd w:id="3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Федеральный государственный образовательный стандарт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среднего общего образования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Требования к структуре основной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образовательной программы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соблюдением требований государственных санитарно-эпидемиологических правил и нормативов.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Материально-технические условия реализации основной образовательной программы должны обеспечивать: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соблюдение: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образовательных отношений.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Постановление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29 декабря 2010 г. № 189 «Об утверждении </w:t>
      </w:r>
      <w:proofErr w:type="spell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Извлечение)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России 3 марта 2011 г. № 19993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48"/>
      <w:bookmarkEnd w:id="4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Санитарно-эпидемиологические требования к условиям и организации обучения в общеобразовательных организациях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Санитарно-эпидемиологические правила и нормативы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САНПИН 2.4.2.2821-10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(Извлечение)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Санитарные правила распространяются на проектируемые,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действующие</w:t>
      </w:r>
      <w:proofErr w:type="gram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,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троящиеся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реконструируемые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общеобразовательные организации.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Санитарные правила распространяются на все общеобразовательные организации,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среды, обеспечивающие свободное передвижение детей в зданиях и помещениях.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&lt;*&gt; Федеральный закон от 30.03.1999 № 52-ФЗ "О санитарно-эпидемиологическом благополучии населения".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Требования к зданию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менее 2,5 м² на 1 обучающегося при фронтальных формах занятий;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менее 3,5 м² на 1 обучающегося при организации групповых форм работы и индивидуальных занятий.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Требования к помещениям и оборудованию общеобразовательных организаций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При оборудовании учебных помещений соблюдаются следующие размеры проходов и расстояния в сантиметрах: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рядами двухместных столов - не менее 60;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рядом столов и наружной продольной стеной - не менее 50 - 70;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демонстрационного стола до учебной доски - не менее 100;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первой парты до учебной доски - не менее 240;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наибольшая удаленность последнего места обучающегося от учебной доски - 860;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нижнего края учебной доски над полом - 70 - 90;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удаленное от окон место занятий не должно находиться далее 6,0 м.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светонесущей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соблюдением требований по размерам проходов и расстояний между оборудованием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VII. Требования к естественному и искусственному освещени</w:t>
      </w:r>
      <w:proofErr w:type="gram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приводятся в извлечения в части, касающейся учебных помещений):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7.1. Естественное освещение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направление основного светового потока спереди и сзади от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светонесущей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X. Гигиенические требования к режиму образовательной деятельности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Arial" w:eastAsia="Times New Roman" w:hAnsi="Arial" w:cs="Arial"/>
          <w:color w:val="000000"/>
          <w:sz w:val="28"/>
          <w:lang w:eastAsia="ru-RU"/>
        </w:rPr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Количество учащихся в классе определяется исходя из расчета соблюдения нормы площади на одного обучающегося, соблюдения требований к расстановке мебели в учебных помещениях, в том числе удаленности мест для занятий от </w:t>
      </w:r>
      <w:proofErr w:type="spell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светонесущей</w:t>
      </w:r>
      <w:proofErr w:type="spellEnd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стены, требований к естественному и искусственному освещению.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&lt;…&gt;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10.15.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Оптимальным при этом является раздельное обучение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возраста начального общего образования.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4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классов-комплектов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4"/>
        <w:gridCol w:w="19"/>
        <w:gridCol w:w="1032"/>
        <w:gridCol w:w="2782"/>
        <w:gridCol w:w="1358"/>
      </w:tblGrid>
      <w:tr w:rsidR="00C56BC2" w:rsidRPr="00C56BC2" w:rsidTr="00C56BC2">
        <w:trPr>
          <w:gridAfter w:val="1"/>
          <w:wAfter w:w="480" w:type="dxa"/>
        </w:trPr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Классы, объединяемые в класс-комплект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классе-комплекте</w:t>
            </w:r>
          </w:p>
        </w:tc>
      </w:tr>
      <w:tr w:rsidR="00C56BC2" w:rsidRPr="00C56BC2" w:rsidTr="00C56BC2">
        <w:trPr>
          <w:gridAfter w:val="1"/>
          <w:wAfter w:w="480" w:type="dxa"/>
        </w:trPr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+ 3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8 - 10</w:t>
            </w:r>
          </w:p>
        </w:tc>
      </w:tr>
      <w:tr w:rsidR="00C56BC2" w:rsidRPr="00C56BC2" w:rsidTr="00C56BC2">
        <w:trPr>
          <w:gridAfter w:val="1"/>
          <w:wAfter w:w="480" w:type="dxa"/>
        </w:trPr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+ 2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8 - 10</w:t>
            </w:r>
          </w:p>
        </w:tc>
      </w:tr>
      <w:tr w:rsidR="00C56BC2" w:rsidRPr="00C56BC2" w:rsidTr="00C56BC2">
        <w:trPr>
          <w:gridAfter w:val="1"/>
          <w:wAfter w:w="480" w:type="dxa"/>
        </w:trPr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+ 4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8 - 10</w:t>
            </w:r>
          </w:p>
        </w:tc>
      </w:tr>
      <w:tr w:rsidR="00C56BC2" w:rsidRPr="00C56BC2" w:rsidTr="00C56BC2">
        <w:trPr>
          <w:gridAfter w:val="1"/>
          <w:wAfter w:w="480" w:type="dxa"/>
        </w:trPr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+ 3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10 - 12</w:t>
            </w:r>
          </w:p>
        </w:tc>
      </w:tr>
      <w:tr w:rsidR="00C56BC2" w:rsidRPr="00C56BC2" w:rsidTr="00C56BC2">
        <w:trPr>
          <w:gridAfter w:val="1"/>
          <w:wAfter w:w="480" w:type="dxa"/>
        </w:trPr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+ 4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10 - 15</w:t>
            </w:r>
          </w:p>
        </w:tc>
      </w:tr>
      <w:tr w:rsidR="00C56BC2" w:rsidRPr="00C56BC2" w:rsidTr="00C56BC2">
        <w:trPr>
          <w:gridAfter w:val="1"/>
          <w:wAfter w:w="480" w:type="dxa"/>
        </w:trPr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+ 4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10 - 15</w:t>
            </w:r>
          </w:p>
        </w:tc>
      </w:tr>
      <w:tr w:rsidR="00C56BC2" w:rsidRPr="00C56BC2" w:rsidTr="00C56BC2">
        <w:tc>
          <w:tcPr>
            <w:tcW w:w="4575" w:type="dxa"/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&lt;…&gt;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24.2pt;height:24.2pt"/>
              </w:pict>
            </w:r>
          </w:p>
        </w:tc>
        <w:tc>
          <w:tcPr>
            <w:tcW w:w="1159" w:type="dxa"/>
            <w:gridSpan w:val="2"/>
            <w:vMerge w:val="restart"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2"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BC2" w:rsidRPr="00C56BC2" w:rsidTr="00C56BC2">
        <w:tc>
          <w:tcPr>
            <w:tcW w:w="4575" w:type="dxa"/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24.2pt;height:24.2pt"/>
              </w:pic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 РАБОТНИКОВ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НАРОДНОГО ОБРАЗОВАНИЯ И НАУКИ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(ОБЩЕРОССИЙСКИЙ ПРОФСОЮЗ ОБРАЗОВАНИЯ)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ЦЕНТРАЛЬНЫЙ СОВЕТ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119119, Ленинский пр. 42</w:t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(495) 938-8777 факс (495) 930-6815</w:t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56B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"http://clck.yandex.ru/redir/dv/*data=url%3Dmailto%253Aeduprof%2540spectrnet.ru%26ts%3D1461315649%26uid%3D2460542101415860513&amp;sign=ef9c876b164dd9d81e1f345a6507d938&amp;keyno=1" \t "_blank" </w:instrText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C56BC2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eduprof@spectr№et.ru</w:t>
            </w:r>
            <w:proofErr w:type="spellEnd"/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http://</w:t>
            </w:r>
            <w:hyperlink r:id="rId4" w:tgtFrame="_blank" w:history="1">
              <w:r w:rsidRPr="00C56BC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www.ed-u№io№.ru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2"/>
            <w:vMerge w:val="restart"/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Правительства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Д.А.Медведеву</w:t>
            </w:r>
          </w:p>
        </w:tc>
      </w:tr>
      <w:tr w:rsidR="00C56BC2" w:rsidRPr="00C56BC2" w:rsidTr="00C56BC2">
        <w:trPr>
          <w:trHeight w:val="1246"/>
        </w:trPr>
        <w:tc>
          <w:tcPr>
            <w:tcW w:w="4575" w:type="dxa"/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марта 2015 г. № 91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 ______________ от ____________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№ 3 в </w:t>
            </w:r>
            <w:proofErr w:type="spellStart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2.4.2.2821-10 «Санитарно-эпидемиологические требования к условиям и организации обучения </w:t>
            </w:r>
            <w:proofErr w:type="gramStart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BC2" w:rsidRPr="00C56BC2" w:rsidTr="00C56BC2">
        <w:tc>
          <w:tcPr>
            <w:tcW w:w="4575" w:type="dxa"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right="2274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Уважаемый Дмитрий Анатольевич!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государственным санитарным врачом Российской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вновь</w:t>
      </w:r>
      <w:proofErr w:type="spellEnd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подготовлены изменения № 3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от 29 декабря 2010 г. № 189 (в редакции изменений № 1 и № 2)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разработки изменений № 3 к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2.4.2.2821-10, размещенных на Едином портале раскрытия информации о подготовке федеральными органами исполнительной власти проектов нормативных правовых актов для общественного обсуждения и экспертизы, как следует из Сводного отчета, является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Ваше поручение от 28 августа 2014 г. № ДМ-П8-6542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Сводном отчете проекта изменений № 3 со ссылкой на Федеральный закон от 30.03.1999 № 52-ФЗ «О санитарно-эпидемиологическом благополучии населения» утверждается, что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новое регулирование направлено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среду, на обеспечение безопасности и (или) безвредности для человека факторов среды обитания, отсутствие которых создает угрозу жизни</w:t>
      </w:r>
      <w:proofErr w:type="gramEnd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или здоровью человека, угрозу возникновения и распространения заболеваний.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Общероссийский Профсоюз образования, внимательно изучив проект изменений № 3, считает, что предлагаемые изменения в части снятия ограничений по наполняемости классов данным целям не соответствуют.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соответствии с действующими требованиями к условиям организации обучения в общеобразовательных учреждениях наполняемость классов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должна превышать 25 обучающихся.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эту обязательную предельную норму предлагается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рекомендуемую норму, в соответствии с которой возможна «комплектация» классов большим количеством учащихся без определения каких-либо количественных ограничений. Предлагается соблюдать лишь нормы площади на одного учащегося, требования к расстановке мебели, к освещению и также удаленность мест для занятий от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светонесущей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стены.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заметить, что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наполняемость класса, составляющая не более 25 обучающихся, впервые на территории Российской Федерации была введена постановлением Совета Министров РСФСР от 23 февраля 1991 г. № 119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Овременных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положениях, регламентирующих деятельность учреждений (организаций) системы образования и подготовки кадров в РСФСР»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не изменялась при переиздании Правительством Российской Федерации типового положения об общеобразовательном учреждении в последующих периодах на протяжении уже 24</w:t>
      </w:r>
      <w:proofErr w:type="gramEnd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лет.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отказом от регулирования деятельности образовательных учреждений путем принятия Правительством Российской Федерации соответствующих типовых положений единственным обязательным для применения нормативным правовым актом, устанавливающим предельную наполняемость классов, составляющую 25 обучающихся, являются «Санитарно-эпидемиологические требования к условиям и организации обучения в общеобразовательных учреждениях»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Считаем, что предельная норма наполняемости классов, составляющая в настоящее время 25 обучающихся, является в большинстве случаев сдерживающим фактором для бесконтрольного комплектования классов, поскольку норма площади, приходящаяся на 1 обучающегося, которая с 1999 года должна составлять 2,5 м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человека, и которую проектом изменений № 3 в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предлагается учитывать при «комплектации» классов большей наполняемости,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 сих пор в большинстве субъектов РФ не обеспечивается даже при существующей предельной наполняемости.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имеющимся сведениям площадь классов пока еще соответствует ранее применяемым строительным нормам, в соответствии с которыми площадь на одно ученическое место составляла 1,25 –1,5 м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чем вместо 62,5м</w:t>
      </w:r>
      <w:r w:rsidRPr="00C56B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количество обучающихся не более 25 чел. при фронтальных формах занятий приходится значительно меньшая площадь. В качестве 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иллюстрации приводятся сведения по площади классов одной из школ (прилагается).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требований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по наполняемости классов и площади помещений, приходящейся на одного обучающегося, нарушает состояние воздушной среды, ухудшает эпидемиологическую обстановку, повышает утомляемость детей, ухудшает их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состояние, снижает качество усвоения знаний, не позволяет обеспечить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учебного процесса, влечет массовые заболевания, агрессивное поведение обучающихся, создание конфликтных ситуаций между участниками образовательного процесса.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также отметить, что предельная наполняемость класса, соответствующая 25 обучающимся, является фактически и предельной нормой, обеспечивающей в соответствии со статьей 159 Трудового кодекса РФ государственное содействие системной организации нормирования труда учителей.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Считаем, что предлагаемые изменения № 3 в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в части отмены предельной наполняемости классов приведут к увеличению трудозатрат учителей и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ущемлению их трудовых прав, к самоустранению органов государственной власти от участия в системной организации нормирования их труда, как это предусмотрено П</w:t>
      </w:r>
      <w:bookmarkStart w:id="5" w:name="Par24"/>
      <w:bookmarkEnd w:id="5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 ноября 2012 г. № 2190-р.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отмена предельной наполняемости классов приведет к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 требований к условиям и организации обучения в общеобразовательных учреждениях, к неконтролируемому увеличению наполняемости классов в городской местности, к снижению качества образования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 снижению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темпов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общеобразовательных учреждений и их реконструкции, вызовет недовольство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непонимание целесообразности таких изменений у общественных профессиональных организаций и родительской общественности.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Уважаемый Дмитрий Анатольевич!</w:t>
      </w:r>
    </w:p>
    <w:p w:rsidR="00C56BC2" w:rsidRPr="00C56BC2" w:rsidRDefault="00C56BC2" w:rsidP="00C56BC2">
      <w:pPr>
        <w:shd w:val="clear" w:color="auto" w:fill="FFFFFF"/>
        <w:spacing w:before="100" w:beforeAutospacing="1" w:after="239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ухудшения условий и организации обучения детей в общеобразовательных учреждениях, снижения качества образования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связи со снятием ограничений по наполняемости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и увеличением трудозатрат учителей,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просим предотвратить внесение указанных изменений № 3 в 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2.4.2.2821-10, утвержденные постановлением Главного 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санитарного врача Российской Федерации от 29.12.2010 № 189.</w:t>
      </w:r>
    </w:p>
    <w:p w:rsidR="00C56BC2" w:rsidRPr="00C56BC2" w:rsidRDefault="00C56BC2" w:rsidP="00C56BC2">
      <w:pPr>
        <w:shd w:val="clear" w:color="auto" w:fill="FFFFFF"/>
        <w:spacing w:before="100" w:beforeAutospacing="1" w:after="239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Приложение: на 1 листе.</w:t>
      </w:r>
    </w:p>
    <w:p w:rsidR="00C56BC2" w:rsidRPr="00C56BC2" w:rsidRDefault="00C56BC2" w:rsidP="00C56BC2">
      <w:pPr>
        <w:shd w:val="clear" w:color="auto" w:fill="FFFFFF"/>
        <w:spacing w:before="100" w:beforeAutospacing="1" w:after="239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 Профсоюза Г.И.Меркулова</w:t>
      </w:r>
    </w:p>
    <w:p w:rsidR="00C56BC2" w:rsidRPr="00C56BC2" w:rsidRDefault="00C56BC2" w:rsidP="00C56BC2">
      <w:pPr>
        <w:shd w:val="clear" w:color="auto" w:fill="FFFFFF"/>
        <w:spacing w:before="100" w:beforeAutospacing="1" w:after="239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56B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Исп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.П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онкратова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В.Н.</w:t>
      </w:r>
    </w:p>
    <w:p w:rsidR="00C56BC2" w:rsidRPr="00C56BC2" w:rsidRDefault="00C56BC2" w:rsidP="00C56BC2">
      <w:pPr>
        <w:shd w:val="clear" w:color="auto" w:fill="FFFFFF"/>
        <w:spacing w:before="100" w:beforeAutospacing="1" w:after="239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(495)938-84-98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9" type="#_x0000_t75" alt="" style="width:24.2pt;height:24.2pt"/>
        </w:pic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0" type="#_x0000_t75" alt="" style="width:24.2pt;height:24.2pt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6"/>
        <w:gridCol w:w="969"/>
        <w:gridCol w:w="4220"/>
      </w:tblGrid>
      <w:tr w:rsidR="00C56BC2" w:rsidRPr="00C56BC2" w:rsidTr="00C56BC2">
        <w:tc>
          <w:tcPr>
            <w:tcW w:w="4575" w:type="dxa"/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24.2pt;height:24.2pt"/>
              </w:pict>
            </w:r>
          </w:p>
        </w:tc>
        <w:tc>
          <w:tcPr>
            <w:tcW w:w="1159" w:type="dxa"/>
            <w:vMerge w:val="restart"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BC2" w:rsidRPr="00C56BC2" w:rsidTr="00C56BC2">
        <w:tc>
          <w:tcPr>
            <w:tcW w:w="4575" w:type="dxa"/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 РАБОТНИКОВ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НАРОДНОГО ОБРАЗОВАНИЯ И НАУКИ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(ОБЩЕРОССИЙСКИЙ ПРОФСОЮЗ ОБРАЗОВАНИЯ)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ЦЕНТРАЛЬНЫЙ СОВЕТ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119119, Ленинский пр. 42</w:t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(495) 938-8777 факс (495) 930-6815</w:t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56B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bookmarkStart w:id="6" w:name="_Hlt11217101"/>
            <w:bookmarkStart w:id="7" w:name="_Hlt11216891"/>
            <w:bookmarkStart w:id="8" w:name="_Hlt11216890"/>
            <w:bookmarkEnd w:id="6"/>
            <w:bookmarkEnd w:id="7"/>
            <w:bookmarkEnd w:id="8"/>
            <w:proofErr w:type="spellStart"/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"http://clck.yandex.ru/redir/dv/*data=url%3Dmailto%253Aeduprof%2540spectrnet.ru%26ts%3D1461315649%26uid%3D2460542101415860513&amp;sign=ef9c876b164dd9d81e1f345a6507d938&amp;keyno=1" \t "_blank" </w:instrText>
            </w:r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C56BC2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eduprof@spectr№et.ru</w:t>
            </w:r>
            <w:proofErr w:type="spellEnd"/>
            <w:r w:rsidRPr="00C5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http://</w:t>
            </w:r>
            <w:hyperlink r:id="rId5" w:tgtFrame="_blank" w:history="1">
              <w:r w:rsidRPr="00C56BC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www.eseur.ru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 w:val="restart"/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Федеральной службы по надзору в сфере защиты прав потребителей и благополучия человека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А.Ю.Поповой</w:t>
            </w:r>
          </w:p>
        </w:tc>
      </w:tr>
      <w:tr w:rsidR="00C56BC2" w:rsidRPr="00C56BC2" w:rsidTr="00C56BC2">
        <w:trPr>
          <w:trHeight w:val="1246"/>
        </w:trPr>
        <w:tc>
          <w:tcPr>
            <w:tcW w:w="4575" w:type="dxa"/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 2016 г. № 8</w:t>
            </w:r>
          </w:p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 ______________ от 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BC2" w:rsidRPr="00C56BC2" w:rsidTr="00C56BC2">
        <w:tc>
          <w:tcPr>
            <w:tcW w:w="4575" w:type="dxa"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6BC2" w:rsidRPr="00C56BC2" w:rsidRDefault="00C56BC2" w:rsidP="00C5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 Анна Юрьевна!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24.11.2015 № 81 внесены изменения № 3 в постановление от 24 ноября 2015 г. № 81 в 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от 29 декабря 2010 г. № 189 (далее - САНПИН), в соответствии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которыми в части определения количества учащихся в классе (пункт 10.1 САНПИН) произошли существенные изменения, несмотря на Ваши заверения в наш адрес, что нормы 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наполняемости классов, не превышающие 25 обучающихся, будут сохранены.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 апреля 2015 г. № 01/4060-15-31 на обращение по данному вопросу Общероссийского Профсоюза образования от 4 марта 2015 г. № 91 к Председателю Правительства Российской Федерации Д.А.Медведеву, рассмотренное по поручению Аппарата Правительства РФ от 10 марта 2015 г. П8-11279, прилагается.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Убедительно просим в целях информирования членов Профсоюза сообщить причину и основание для отмены санитарной нормы комплектования классов количеством обучающихся, не превышающим 25 человек, длительное время являвшейся единственным реально сдерживающим ограничителем бесконтрольного наполнения классов детьми.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учитывая, что в соответствии с пунктом 1.3 САНПИН в редакции изменений № 3 Санитарные правила распространяются на проектируемые, действующие, строящиеся и реконструируемые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дня, просим сообщить: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 кем будет обеспечиваться контроль за соблюдением вновь введенного порядка комплектования классов, предусмотренного пунктом 10.1 Изменений № 3, устанавливающего, что количество учащихся в классе с 1 января 2016 г. должно определяться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исходя из расчета соблюдения нормы площади на одного обучающегося, соблюдения требований к расстановке мебели в учебных помещениях, в том числе удаленности мест для занятий от </w:t>
      </w:r>
      <w:proofErr w:type="spell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светонесущей</w:t>
      </w:r>
      <w:proofErr w:type="spellEnd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стены, требований к</w:t>
      </w:r>
      <w:proofErr w:type="gramEnd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естественному и искусственному освещению;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какому количеству обучающихся будет соответствовать наполняемость класса при норме площади 2,5 м² на одного обучающегося при фронтальных формах занятий, предусмотренной пунктом 4.9.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САНПИН, если в школе площади классов составляют от 40,1 м² до 46,3 м², при условии соблюдения всех остальных норм, связанных с расстановкой дополнительной мебели в таких учебных помещениях, удаленности мест для занятий от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светонесущей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стены и других в соответствии с разделом V САНПИН? (сведения о конкретной площади классов одной из школ, на примере которой просим определять количество обучающихся в классе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прилагаются)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ответственность для руководителей общеобразовательных организаций предусмотрена за нарушение определения количества учащихся, исходя из расчета соблюдения нормы площади на одного обучающегося, соблюдения требований к расстановке мебели в учебных 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помещениях, в том числе удаленности мест для занятий от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светонесущей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стены, требований к естественному и искусственному освещению?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ответ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 апреля 2015 г. № 01/4060-15-31 - на 2 листах, сведения о площади классных помещений одной из школ – на 1 листе.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Профсоюза Г.И.Меркулова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C56BC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pict>
          <v:shape id="_x0000_i1032" type="#_x0000_t75" alt="" style="width:24.2pt;height:24.2pt"/>
        </w:pic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C56BC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pict>
          <v:shape id="_x0000_i1033" type="#_x0000_t75" alt="" style="width:24.2pt;height:24.2pt"/>
        </w:pic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BC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ПЕРЕЧЕНЬ </w:t>
      </w:r>
      <w:proofErr w:type="gramStart"/>
      <w:r w:rsidRPr="00C56BC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ДЕЙСТВУЮЩИХ</w:t>
      </w:r>
      <w:proofErr w:type="gramEnd"/>
      <w:r w:rsidRPr="00C56BC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САНПИН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BC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 ГИГИЕНЕ ДЕТЕЙ И ПОДРОСТКОВ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Гигиена детей и подростков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2.4.1. Детские дошкольные учреждения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688"/>
      </w:tblGrid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или орган, утвердивший санитарные требования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2.4.3259-15 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09.02.2015 № 8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2.4.1.3147-13 Санитарно-эпидемиологические требования к дошкольным группам, размещенным в жилых помещениях жилищного фонда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19.12.2013 № 68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15.05.2013 № 26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Методические указания по </w:t>
            </w:r>
            <w:proofErr w:type="gram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устройством и оборудованием дошкольных учреждений для детей с нарушениями физического и умственного развития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государственный санитарный врач СССР 25.05.1978 № 1850-78</w:t>
            </w:r>
          </w:p>
        </w:tc>
      </w:tr>
    </w:tbl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2.4.2. Общеобразовательные учреждения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1"/>
        <w:gridCol w:w="4684"/>
      </w:tblGrid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или орган, утвердивший санитарные требования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2.4.2.3286-15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      </w: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здоровья</w:t>
            </w:r>
            <w:proofErr w:type="gramEnd"/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Постановление Главного государственного санитарного врача РФ от 10.07.2015 № 26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2.4.2.2843-11 Санитарно-эпидемиологические требования к устройству, содержанию и организации работы детских санаториев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18.03.2011 № 21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2.4.2.2821-10 Санитарно-эпидемиологические требования к условиям и организации обучения в общеобразовательных учреждениях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29.12.2010 № 189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СССР от 06.03.1986 № 4076-86</w:t>
            </w:r>
          </w:p>
        </w:tc>
      </w:tr>
    </w:tbl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2.4.3. Учреждения начального, среднего профессионального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688"/>
      </w:tblGrid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или орган, утвердивший санитарные требования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28.01.2003 № 2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Санитарные правила СП 2.1.2.2844-11 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23.03.2011 № 23</w:t>
            </w:r>
          </w:p>
        </w:tc>
      </w:tr>
    </w:tbl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2.4.4. Детские внешкольные учреждения, летние оздоровительные учреждения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688"/>
      </w:tblGrid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или орган, утвердивший санитарные требования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04.07.2014 № 41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2.4.4.3155-13 Санитарно-эпидемиологические требования к устройству, содержанию и организации работы стационарных организаций отдыха и оздоровления детей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27.12.2013 № 73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2.4.4.3048-13 Санитарно-эпидемиологические требования к устройству и организации работы детских лагерей палаточного типа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14.05.2013 № 25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2.4.2.2842-11 Санитарно-эпидемиологические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18.03.2011 № 22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2.4.4.2599-10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19.04.2010 № 25</w:t>
            </w:r>
          </w:p>
        </w:tc>
      </w:tr>
    </w:tbl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2.4.5. Детское питание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0"/>
        <w:gridCol w:w="4685"/>
      </w:tblGrid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или орган, утвердивший санитарные требования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23.07.2008 № 45</w:t>
            </w:r>
          </w:p>
        </w:tc>
      </w:tr>
    </w:tbl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2.4.6. Гигиена труда детей и подростков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688"/>
      </w:tblGrid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или орган, утвердивший санитарные требования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2.4.6.2553-09 Санитарно-эпидемиологические требования к безопасности условий труда работников, не достигших 18-летнего возраста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30.09.2009 № 58</w:t>
            </w:r>
          </w:p>
        </w:tc>
      </w:tr>
    </w:tbl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2.4.7. Товары детского ассортимента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7"/>
        <w:gridCol w:w="4698"/>
      </w:tblGrid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или орган, утвердивший санитарные требования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2.4.7/1.1.1286-03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17.04.2003 № 51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2.4.7.1166-02 Гигиенические требования к изданиям учебным для общего и начального профессионального образования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20.11.2002 № 38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2.4.7.960-00 Гигиенические требования к изданиям книжным и журнальным для детей и подростков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государственный санитарный врач РФ 04.10.2000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2.4.7.007-93 Производство и реализация игр и игрушек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B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Госкомсанэпиднадзора РФ от 12.08.1993 № 9</w:t>
            </w:r>
          </w:p>
        </w:tc>
      </w:tr>
    </w:tbl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Комментарий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 изменениям № 3 </w:t>
      </w:r>
      <w:proofErr w:type="spell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24.11.2015 № 81 внесены изменения № 3 в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от 29 декабря 2010 г. № 189 (далее –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2.4.2.2821-10).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1.3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в редакции изменений № 3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санитарные правила распространяются на 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проектируемые, действующие, строящиеся и реконструируемые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пункту 1.4.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санитарные правила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являются обязательными для исполнения всеми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юридическими лицами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индивидуальными предпринимателями,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деятельность которых связана </w:t>
      </w:r>
      <w:proofErr w:type="spell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проектированием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строительством, реконструкцией,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эксплуатацией общеобразовательных организаций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обратить внимание на пункт 1.5.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2.4.2.2821-10, предусматривающий, что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обязательным условием для принятия решения о выдаче лицензии является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соискателем лицензии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санитарно-эпидемиологического заключения о соответствии санитарным правилам</w:t>
      </w:r>
      <w:r w:rsidR="007938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зданий, строений, сооружений,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помещений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оборудования и иного имущества, которые соискатель лицензии предполагает использовать для осуществления образовательной деятельности.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существенные Изменения № 3 к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связаны с иным порядком определения наполняемости классов.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абзац второй пункта 10.1, предусматривавший ранее, что наполняемость классов, за исключением классов компенсирующего обучения, не должна превышать 25 человек,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изложен в новой редакции: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"Количество учащихся в классе определяется исходя из расчета соблюдения нормы площади на одного обучающегося, соблюдения требований к расстановке мебели в учебных помещениях, в том числе удаленности мест для занятий от </w:t>
      </w:r>
      <w:proofErr w:type="spell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светонесущей</w:t>
      </w:r>
      <w:proofErr w:type="spellEnd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стены, требований к естественному и искусственному освещению.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наличии необходимых условий и средств для обучения возможно деление классов по учебным предметам на группы</w:t>
      </w:r>
      <w:proofErr w:type="gram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.".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нормы площади на одного обучающегося, соблюдение требований к расстановке мебели в учебных помещениях указаны в пункте 4.9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2.4.2.2821-10, который в части указанных норм и требований не претерпел изменений.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как показывает практика, норма площади на одного обучающегося практически не соблюдалась, поскольку в качестве главного ориентира наполняемости служило количество учащихся в классе, которое не должно было превышать 25 человек. Соблюдение или несоблюдение такой 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предельной нормы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надзорным (контролирующим) органом проверялось, как правило, по классному журналу.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примером несоблюдения нормы площади на одного обучающегося, предусмотренной пунктом 4.9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2.4.2.2821-10, составляющей 2,5 м² на 1 ученика при фронтальном обучении, может служить нижеследующая таблица о составе площади классных помещений одной из школ, количестве обучающихся в каждом классе и количестве обучающихся, которое должно обучаться в классах на такой площади.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при этом учесть, что в данном примере указана только фактическая площадь классов, т.е. с учетом площади, занятой дополнительной мебелью (шкафы, тумбы и другие), подлежащей исключению из подсчета площади, принимаемой для определения количества учащихся, которое должно обучаться в классах на такой площади при фронтальном обучении.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5"/>
        <w:gridCol w:w="1596"/>
        <w:gridCol w:w="1703"/>
        <w:gridCol w:w="1651"/>
      </w:tblGrid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Площадь классных помещений по классам (в </w:t>
            </w:r>
            <w:proofErr w:type="gramStart"/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</w:t>
            </w:r>
            <w:proofErr w:type="gramEnd"/>
            <w:r w:rsidRPr="00C56B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Кол-во учащихся, которое обучается на данной площади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Кол-во учащихся, которое должно обучаться на данной площади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Превышение кол-ва учащихся, обучающихся на данной площади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 "в" класс площадь помещения 44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+6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 "в" класс площадь помещения 44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+6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 "б" класс площадь помещения 46,2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+7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 "а" класс площадь помещения 40,9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+9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 "б" класс площадь помещения 45,1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+12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 "а" класса площадь помещения 45,7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+11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3 "а" класс площадь помещения 45,2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+6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3 "б" класс площадь помещения 46,3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+2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3"в</w:t>
            </w:r>
            <w:proofErr w:type="gramStart"/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"к</w:t>
            </w:r>
            <w:proofErr w:type="gramEnd"/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ласс площадь помещения 46,3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+2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4 "б" класс площадь помещения 45,7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+5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5 "а" класс площадь помещения </w:t>
            </w: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lastRenderedPageBreak/>
              <w:t>45,6 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+7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lastRenderedPageBreak/>
              <w:t>5 "б</w:t>
            </w:r>
            <w:proofErr w:type="gramStart"/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"к</w:t>
            </w:r>
            <w:proofErr w:type="gramEnd"/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ласс площадь помещения 43,8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+9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5 "в" класс площадь помещения 44,5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+9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6 "а" класс площадь помещения 45,3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+11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6 "б" класс площадь помещения 40,5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+11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7 "а" класс площадь помещения 44,6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+11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8 "а</w:t>
            </w:r>
            <w:proofErr w:type="gramStart"/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"к</w:t>
            </w:r>
            <w:proofErr w:type="gramEnd"/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ласс площадь помещения 44,2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+7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10 класс площадь помещения 46,2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+9</w:t>
            </w:r>
          </w:p>
        </w:tc>
      </w:tr>
      <w:tr w:rsidR="00C56BC2" w:rsidRPr="00C56BC2" w:rsidTr="00C56BC2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11 класс площадь помещения 45,1 </w:t>
            </w:r>
            <w:r w:rsidRPr="00C56B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+6</w:t>
            </w:r>
          </w:p>
        </w:tc>
      </w:tr>
    </w:tbl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приведенного примера, норма площади, составляющая 2,5 м</w:t>
      </w:r>
      <w:r w:rsidRPr="00C56B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обучающегося и действующая с 1999 года,</w:t>
      </w:r>
      <w:r w:rsidRPr="00C56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 сих пор не </w:t>
      </w:r>
      <w:proofErr w:type="spell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обеспечивается</w:t>
      </w:r>
      <w:proofErr w:type="gramStart"/>
      <w:r w:rsidRPr="00C56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оскольку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класса для предельного количества обучающихся, которое ранее не могло согласно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превышать 25 человек, при таком их количестве при фронтальном обучении должна была составлять 62,5м</w:t>
      </w:r>
      <w:r w:rsidRPr="00C56B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требований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по наполняемости классов и площади помещений, приходящейся на одного обучающегося, нарушает состояние воздушной среды, ухудшает эпидемиологическую обстановку, повышает утомляемость детей, ухудшает их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состояние, снижает качество усвоения знаний, не позволяет обеспечить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учебного процесса, влечет за собой массовые заболевания, агрессивное поведение обучающихся, создание конфликтных ситуаций между участниками образовательных отношений.</w:t>
      </w:r>
      <w:proofErr w:type="gramEnd"/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рассматривать нововведение с точки зрения соблюдения нормы площади 2,5 м² на одного учащегося при фронтальном обучении в школе, а также размера площади классов, который в приведенном примере составляет от 40,1 м² до 46,3 м² (при отсутствии сведений о площади, занятой мебелью, которая не должна учитываться), то количество обучающихся на такой площади должно составлять 16-18 человек вместо 20-30, которые в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обучаются на данной площади.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порядка определения количества учащихся в классе потребует: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дополнительное количество классных помещений;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дополнительное количество учителей либо увеличение объема их учебной нагрузки;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дополнительное количество финансовых средств на оборудование дополнительных классных помещений, на оплату труда учителей за дополнительную учебную нагрузку в связи с увеличением количества классов и количества часов по учебному плану.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субъектах, применяющих систему оплаты труда учителей с учетом количества обучающихся в классе, обеспечение норм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с изменениями № 3, может привести к уменьшению их заработной платы в связи с меньшим количеством обучающихся в каждом классе.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дополнительных площадей, достаточного финансового обеспечения для организации новых классных помещений, а также кадров учителей может привести: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либо к увеличению второй или третьей смены, что отразится на показателях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деятельности органов исполнительной власти субъектов Российской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утв. Указом Президента РФ от 21 августа 2012 г. № 1199;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либо к массовым нарушениям установленных требований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2.4.2.2821-10, если не будут соблюдаться установленные требования по определению количества обучающихся в помещении класса из расчета 2,5 м² на одного учащегося при фронтальном обучении в классе.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применении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следует также обратить внимание на пункт 10.15, который в Изменениях № 3 не претерпел существенных изменений, и по-прежнему предусматривает, что формирование классов-комплектов в малокомплектных сельских организациях допускается только из обучающихся начального общего образования.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оптимальным является раздельное обучение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возраста начального общего образования.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№ 4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692"/>
      </w:tblGrid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объединяемые в класс-комплект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5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классе-комплекте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+ 3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+ 2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+ 4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+ 3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+ 4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</w:tr>
      <w:tr w:rsidR="00C56BC2" w:rsidRPr="00C56BC2" w:rsidTr="00C56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+ 4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C2" w:rsidRPr="00C56BC2" w:rsidRDefault="00C56BC2" w:rsidP="00C56B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</w:tbl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учесть, что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не предусматривает возможность объединения в классы-комплекты учащихся, обучающихся по образовательным программам основного общего образования или среднего общего образования, как это стало распространяться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C5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в субъектах Российской Федерации.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C56BC2">
        <w:rPr>
          <w:rFonts w:ascii="Courier New" w:eastAsia="Times New Roman" w:hAnsi="Courier New" w:cs="Courier New"/>
          <w:b/>
          <w:bCs/>
          <w:color w:val="000000"/>
          <w:sz w:val="28"/>
          <w:lang w:eastAsia="ru-RU"/>
        </w:rPr>
        <w:t>_____________</w:t>
      </w:r>
    </w:p>
    <w:p w:rsidR="00C56BC2" w:rsidRPr="00C56BC2" w:rsidRDefault="00C56BC2" w:rsidP="00C5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Комментарий подготовлен в отделе по вопросам общего образования аппарата ЦС Профсоюза, экспертом В.Н. </w:t>
      </w:r>
      <w:proofErr w:type="spellStart"/>
      <w:r w:rsidRPr="00C5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Понкратовой</w:t>
      </w:r>
      <w:proofErr w:type="spellEnd"/>
    </w:p>
    <w:p w:rsidR="00377EFB" w:rsidRDefault="00377EFB"/>
    <w:sectPr w:rsidR="00377EFB" w:rsidSect="0037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56BC2"/>
    <w:rsid w:val="00377EFB"/>
    <w:rsid w:val="00793821"/>
    <w:rsid w:val="00C5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6BC2"/>
  </w:style>
  <w:style w:type="paragraph" w:customStyle="1" w:styleId="p2">
    <w:name w:val="p2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56BC2"/>
  </w:style>
  <w:style w:type="paragraph" w:customStyle="1" w:styleId="p13">
    <w:name w:val="p13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BC2"/>
  </w:style>
  <w:style w:type="paragraph" w:customStyle="1" w:styleId="p17">
    <w:name w:val="p17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56BC2"/>
  </w:style>
  <w:style w:type="paragraph" w:customStyle="1" w:styleId="p20">
    <w:name w:val="p20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56BC2"/>
  </w:style>
  <w:style w:type="paragraph" w:customStyle="1" w:styleId="p21">
    <w:name w:val="p21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56BC2"/>
  </w:style>
  <w:style w:type="paragraph" w:customStyle="1" w:styleId="p23">
    <w:name w:val="p23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56BC2"/>
  </w:style>
  <w:style w:type="character" w:customStyle="1" w:styleId="s7">
    <w:name w:val="s7"/>
    <w:basedOn w:val="a0"/>
    <w:rsid w:val="00C56BC2"/>
  </w:style>
  <w:style w:type="paragraph" w:customStyle="1" w:styleId="p25">
    <w:name w:val="p25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56BC2"/>
  </w:style>
  <w:style w:type="paragraph" w:customStyle="1" w:styleId="p26">
    <w:name w:val="p26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56BC2"/>
  </w:style>
  <w:style w:type="paragraph" w:customStyle="1" w:styleId="p33">
    <w:name w:val="p33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6B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6BC2"/>
    <w:rPr>
      <w:color w:val="800080"/>
      <w:u w:val="single"/>
    </w:rPr>
  </w:style>
  <w:style w:type="character" w:customStyle="1" w:styleId="s10">
    <w:name w:val="s10"/>
    <w:basedOn w:val="a0"/>
    <w:rsid w:val="00C56BC2"/>
  </w:style>
  <w:style w:type="character" w:customStyle="1" w:styleId="s11">
    <w:name w:val="s11"/>
    <w:basedOn w:val="a0"/>
    <w:rsid w:val="00C56BC2"/>
  </w:style>
  <w:style w:type="paragraph" w:customStyle="1" w:styleId="p38">
    <w:name w:val="p38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56BC2"/>
  </w:style>
  <w:style w:type="paragraph" w:customStyle="1" w:styleId="p42">
    <w:name w:val="p42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752">
          <w:marLeft w:val="461"/>
          <w:marRight w:val="461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96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www.eseur.ru%26ts%3D1461315649%26uid%3D2460542101415860513&amp;sign=1da7b6e0cdccacc569dd89ed29bdf804&amp;keyno=1" TargetMode="External"/><Relationship Id="rId4" Type="http://schemas.openxmlformats.org/officeDocument/2006/relationships/hyperlink" Target="http://clck.yandex.ru/redir/dv/*data=url%3Dhttp%253A%252F%252Fwww.ed-union.ru%26ts%3D1461315649%26uid%3D2460542101415860513&amp;sign=fd010fa5e9add91906394923a11f89a2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7440</Words>
  <Characters>42409</Characters>
  <Application>Microsoft Office Word</Application>
  <DocSecurity>0</DocSecurity>
  <Lines>353</Lines>
  <Paragraphs>99</Paragraphs>
  <ScaleCrop>false</ScaleCrop>
  <Company/>
  <LinksUpToDate>false</LinksUpToDate>
  <CharactersWithSpaces>49750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3</cp:revision>
  <dcterms:created xsi:type="dcterms:W3CDTF">2016-04-22T09:02:00Z</dcterms:created>
  <dcterms:modified xsi:type="dcterms:W3CDTF">2016-04-22T09:11:00Z</dcterms:modified>
</cp:coreProperties>
</file>