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61" w:rsidRDefault="001A2A61" w:rsidP="001A2A61">
      <w:pPr>
        <w:shd w:val="clear" w:color="auto" w:fill="FBFBFB"/>
        <w:jc w:val="center"/>
        <w:textAlignment w:val="baseline"/>
        <w:outlineLvl w:val="1"/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</w:pPr>
      <w:bookmarkStart w:id="0" w:name="_GoBack"/>
      <w:bookmarkEnd w:id="0"/>
    </w:p>
    <w:p w:rsidR="001A2A61" w:rsidRPr="001A2A61" w:rsidRDefault="001A2A61" w:rsidP="001A2A61">
      <w:pPr>
        <w:shd w:val="clear" w:color="auto" w:fill="FBFBFB"/>
        <w:jc w:val="center"/>
        <w:textAlignment w:val="baseline"/>
        <w:outlineLvl w:val="1"/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</w:pPr>
      <w:r w:rsidRPr="001A2A61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t>Акционерное общество «Негосударственный </w:t>
      </w:r>
      <w:r w:rsidRPr="001A2A61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br/>
        <w:t>пенсионный фонд «САФМАР» входит в число </w:t>
      </w:r>
      <w:r w:rsidRPr="001A2A61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br/>
        <w:t xml:space="preserve">крупнейших российских </w:t>
      </w:r>
      <w:proofErr w:type="gramStart"/>
      <w:r w:rsidRPr="001A2A61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t>НПФ</w:t>
      </w:r>
      <w:r w:rsidR="0074504E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t>(</w:t>
      </w:r>
      <w:proofErr w:type="gramEnd"/>
      <w:r w:rsidR="0074504E">
        <w:rPr>
          <w:rFonts w:ascii="Avenir" w:eastAsia="Times New Roman" w:hAnsi="Avenir" w:cs="Times New Roman"/>
          <w:color w:val="202020"/>
          <w:sz w:val="51"/>
          <w:szCs w:val="51"/>
          <w:lang w:eastAsia="ru-RU"/>
        </w:rPr>
        <w:t>в это объединение вошел НПФ «Образование и наука»)</w:t>
      </w:r>
    </w:p>
    <w:p w:rsidR="001A2A61" w:rsidRPr="0074504E" w:rsidRDefault="0074504E" w:rsidP="0074504E">
      <w:pPr>
        <w:shd w:val="clear" w:color="auto" w:fill="FBFBFB"/>
        <w:spacing w:line="360" w:lineRule="atLeast"/>
        <w:jc w:val="both"/>
        <w:textAlignment w:val="baseline"/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</w:pPr>
      <w:r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 xml:space="preserve">           </w:t>
      </w:r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АО НПФ «САФМАР» входит в </w:t>
      </w:r>
      <w:hyperlink r:id="rId5" w:tgtFrame="_blank" w:history="1">
        <w:r w:rsidR="001A2A61" w:rsidRPr="0074504E">
          <w:rPr>
            <w:rFonts w:ascii="inherit" w:eastAsia="Times New Roman" w:hAnsi="inherit" w:cs="Times New Roman"/>
            <w:color w:val="3FAC49"/>
            <w:sz w:val="32"/>
            <w:szCs w:val="32"/>
            <w:u w:val="single"/>
            <w:bdr w:val="none" w:sz="0" w:space="0" w:color="auto" w:frame="1"/>
            <w:lang w:eastAsia="ru-RU"/>
          </w:rPr>
          <w:t>Группу «САФМАР»</w:t>
        </w:r>
      </w:hyperlink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, одну из крупнейших промышленно-финансовых групп в России, включающую промышленные, финансовые, банковские активы, активы в области коммерческой недвижимости, строительства и девелопмента.</w:t>
      </w:r>
    </w:p>
    <w:p w:rsidR="001A2A61" w:rsidRPr="0074504E" w:rsidRDefault="0074504E" w:rsidP="0074504E">
      <w:pPr>
        <w:shd w:val="clear" w:color="auto" w:fill="FBFBFB"/>
        <w:spacing w:after="75" w:line="360" w:lineRule="atLeast"/>
        <w:jc w:val="both"/>
        <w:textAlignment w:val="baseline"/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</w:pPr>
      <w:r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 xml:space="preserve">        </w:t>
      </w:r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Фонд осуществляет деятельность по обязательному пенсионному страхованию, в том числе участвует в государственной программе со</w:t>
      </w:r>
      <w:r w:rsidR="009515FB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 xml:space="preserve"> </w:t>
      </w:r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финансирования пенсионных накоплений, а также реализует программы по негосударственному пенсионному обеспечению для физических и юридических лиц.</w:t>
      </w:r>
    </w:p>
    <w:p w:rsidR="001A2A61" w:rsidRPr="001A2A61" w:rsidRDefault="0074504E" w:rsidP="0074504E">
      <w:pPr>
        <w:shd w:val="clear" w:color="auto" w:fill="FBFBFB"/>
        <w:spacing w:line="360" w:lineRule="atLeast"/>
        <w:jc w:val="both"/>
        <w:textAlignment w:val="baseline"/>
        <w:rPr>
          <w:rFonts w:ascii="Avenir" w:eastAsia="Times New Roman" w:hAnsi="Avenir" w:cs="Times New Roman"/>
          <w:color w:val="161616"/>
          <w:sz w:val="26"/>
          <w:szCs w:val="26"/>
          <w:lang w:eastAsia="ru-RU"/>
        </w:rPr>
      </w:pPr>
      <w:r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 xml:space="preserve">       </w:t>
      </w:r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 xml:space="preserve">Фонд является участником системы гарантирования прав застрахованных лиц, обладает рейтингом надежности </w:t>
      </w:r>
      <w:proofErr w:type="spellStart"/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ruA</w:t>
      </w:r>
      <w:proofErr w:type="spellEnd"/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- ведущего рейтингового агентства России «Эксперт РА» (RAEX), член саморегулируемой организации – Ассоциации негосударственных пенсионных фондов </w:t>
      </w:r>
      <w:hyperlink r:id="rId6" w:tgtFrame="_blank" w:history="1">
        <w:r w:rsidR="001A2A61" w:rsidRPr="0074504E">
          <w:rPr>
            <w:rFonts w:ascii="inherit" w:eastAsia="Times New Roman" w:hAnsi="inherit" w:cs="Times New Roman"/>
            <w:color w:val="3FAC49"/>
            <w:sz w:val="32"/>
            <w:szCs w:val="32"/>
            <w:u w:val="single"/>
            <w:bdr w:val="none" w:sz="0" w:space="0" w:color="auto" w:frame="1"/>
            <w:lang w:eastAsia="ru-RU"/>
          </w:rPr>
          <w:t>АНПФ</w:t>
        </w:r>
      </w:hyperlink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, а также Ассоциации европейского бизнеса (</w:t>
      </w:r>
      <w:hyperlink r:id="rId7" w:tgtFrame="_blank" w:history="1">
        <w:r w:rsidR="001A2A61" w:rsidRPr="0074504E">
          <w:rPr>
            <w:rFonts w:ascii="inherit" w:eastAsia="Times New Roman" w:hAnsi="inherit" w:cs="Times New Roman"/>
            <w:color w:val="3FAC49"/>
            <w:sz w:val="32"/>
            <w:szCs w:val="32"/>
            <w:u w:val="single"/>
            <w:bdr w:val="none" w:sz="0" w:space="0" w:color="auto" w:frame="1"/>
            <w:lang w:eastAsia="ru-RU"/>
          </w:rPr>
          <w:t>AEB</w:t>
        </w:r>
      </w:hyperlink>
      <w:r w:rsidR="001A2A61" w:rsidRPr="0074504E">
        <w:rPr>
          <w:rFonts w:ascii="Avenir" w:eastAsia="Times New Roman" w:hAnsi="Avenir" w:cs="Times New Roman"/>
          <w:color w:val="161616"/>
          <w:sz w:val="32"/>
          <w:szCs w:val="32"/>
          <w:lang w:eastAsia="ru-RU"/>
        </w:rPr>
        <w:t>) и </w:t>
      </w:r>
      <w:hyperlink r:id="rId8" w:tgtFrame="_blank" w:history="1">
        <w:r w:rsidR="001A2A61" w:rsidRPr="0074504E">
          <w:rPr>
            <w:rFonts w:ascii="inherit" w:eastAsia="Times New Roman" w:hAnsi="inherit" w:cs="Times New Roman"/>
            <w:color w:val="3FAC49"/>
            <w:sz w:val="32"/>
            <w:szCs w:val="32"/>
            <w:u w:val="single"/>
            <w:bdr w:val="none" w:sz="0" w:space="0" w:color="auto" w:frame="1"/>
            <w:lang w:eastAsia="ru-RU"/>
          </w:rPr>
          <w:t>Франко-Российской торгово-промышленной палаты</w:t>
        </w:r>
      </w:hyperlink>
      <w:r w:rsidR="001A2A61" w:rsidRPr="001A2A61">
        <w:rPr>
          <w:rFonts w:ascii="Avenir" w:eastAsia="Times New Roman" w:hAnsi="Avenir" w:cs="Times New Roman"/>
          <w:color w:val="161616"/>
          <w:sz w:val="26"/>
          <w:szCs w:val="26"/>
          <w:lang w:eastAsia="ru-RU"/>
        </w:rPr>
        <w:t>.</w:t>
      </w:r>
    </w:p>
    <w:p w:rsidR="00E26E81" w:rsidRDefault="00E26E81" w:rsidP="00A57B5D"/>
    <w:p w:rsidR="000E0D7C" w:rsidRDefault="000E0D7C" w:rsidP="00A57B5D"/>
    <w:p w:rsidR="000E0D7C" w:rsidRDefault="000E0D7C" w:rsidP="00A57B5D"/>
    <w:p w:rsidR="000E0D7C" w:rsidRDefault="000E0D7C" w:rsidP="00A57B5D"/>
    <w:sectPr w:rsidR="000E0D7C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0E0D7C"/>
    <w:rsid w:val="00114B58"/>
    <w:rsid w:val="00130A83"/>
    <w:rsid w:val="00133C29"/>
    <w:rsid w:val="00146427"/>
    <w:rsid w:val="00164C22"/>
    <w:rsid w:val="001A2A61"/>
    <w:rsid w:val="0022770F"/>
    <w:rsid w:val="00294D06"/>
    <w:rsid w:val="003E1A1F"/>
    <w:rsid w:val="0040750B"/>
    <w:rsid w:val="004D0A7C"/>
    <w:rsid w:val="004E3F1B"/>
    <w:rsid w:val="00593CA4"/>
    <w:rsid w:val="005A30CC"/>
    <w:rsid w:val="005A464A"/>
    <w:rsid w:val="005D2CD3"/>
    <w:rsid w:val="006231B4"/>
    <w:rsid w:val="006C0365"/>
    <w:rsid w:val="0072206C"/>
    <w:rsid w:val="0074504E"/>
    <w:rsid w:val="00752EDD"/>
    <w:rsid w:val="00757EDB"/>
    <w:rsid w:val="007A7791"/>
    <w:rsid w:val="007B3259"/>
    <w:rsid w:val="008376B2"/>
    <w:rsid w:val="008C22A2"/>
    <w:rsid w:val="00905FD4"/>
    <w:rsid w:val="00920085"/>
    <w:rsid w:val="009515FB"/>
    <w:rsid w:val="009C660F"/>
    <w:rsid w:val="009E4310"/>
    <w:rsid w:val="00A57B5D"/>
    <w:rsid w:val="00AE30DE"/>
    <w:rsid w:val="00AF0AA6"/>
    <w:rsid w:val="00B21ECA"/>
    <w:rsid w:val="00C10F6C"/>
    <w:rsid w:val="00C3686A"/>
    <w:rsid w:val="00CE6ED2"/>
    <w:rsid w:val="00CF144B"/>
    <w:rsid w:val="00D24C46"/>
    <w:rsid w:val="00D270CF"/>
    <w:rsid w:val="00DA25A0"/>
    <w:rsid w:val="00DE6151"/>
    <w:rsid w:val="00E26E81"/>
    <w:rsid w:val="00E43131"/>
    <w:rsid w:val="00E83E56"/>
    <w:rsid w:val="00E91158"/>
    <w:rsid w:val="00F30E76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5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78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9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7">
          <w:marLeft w:val="-45"/>
          <w:marRight w:val="0"/>
          <w:marTop w:val="0"/>
          <w:marBottom w:val="0"/>
          <w:divBdr>
            <w:top w:val="single" w:sz="18" w:space="31" w:color="E9E9EF"/>
            <w:left w:val="single" w:sz="18" w:space="20" w:color="E9E9EF"/>
            <w:bottom w:val="single" w:sz="18" w:space="23" w:color="E9E9EF"/>
            <w:right w:val="single" w:sz="18" w:space="31" w:color="E9E9EF"/>
          </w:divBdr>
          <w:divsChild>
            <w:div w:id="52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2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fr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br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-pf.com/" TargetMode="External"/><Relationship Id="rId5" Type="http://schemas.openxmlformats.org/officeDocument/2006/relationships/hyperlink" Target="http://www.safmargrou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8</cp:revision>
  <cp:lastPrinted>2017-06-27T12:31:00Z</cp:lastPrinted>
  <dcterms:created xsi:type="dcterms:W3CDTF">2017-08-28T09:01:00Z</dcterms:created>
  <dcterms:modified xsi:type="dcterms:W3CDTF">2017-09-06T06:22:00Z</dcterms:modified>
</cp:coreProperties>
</file>